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4E" w:rsidRDefault="00616553" w:rsidP="0045604E">
      <w:pPr>
        <w:shd w:val="clear" w:color="auto" w:fill="F5F5F5"/>
        <w:textAlignment w:val="top"/>
        <w:rPr>
          <w:rFonts w:ascii="Arial" w:hAnsi="Arial" w:cs="Arial"/>
          <w:color w:val="333333"/>
          <w:lang/>
        </w:rPr>
      </w:pPr>
      <w:r>
        <w:rPr>
          <w:rFonts w:ascii="Arial" w:hAnsi="Arial" w:cs="Arial"/>
          <w:b/>
          <w:color w:val="333333"/>
          <w:lang/>
        </w:rPr>
        <w:t>The Swedish structure for the implementation of the EUSBSR</w:t>
      </w:r>
      <w:r w:rsidR="0045604E" w:rsidRPr="0045604E">
        <w:rPr>
          <w:rFonts w:ascii="Arial" w:hAnsi="Arial" w:cs="Arial"/>
          <w:b/>
          <w:color w:val="333333"/>
          <w:lang/>
        </w:rPr>
        <w:br/>
      </w:r>
      <w:r w:rsidR="0045604E" w:rsidRPr="0045604E">
        <w:rPr>
          <w:rFonts w:ascii="Arial" w:hAnsi="Arial" w:cs="Arial"/>
          <w:b/>
          <w:color w:val="333333"/>
          <w:lang/>
        </w:rPr>
        <w:br/>
      </w:r>
      <w:r w:rsidR="0045604E" w:rsidRPr="0045604E">
        <w:rPr>
          <w:rFonts w:ascii="Arial" w:hAnsi="Arial" w:cs="Arial"/>
          <w:color w:val="333333"/>
          <w:lang/>
        </w:rPr>
        <w:br/>
      </w:r>
      <w:r w:rsidR="003134BC">
        <w:rPr>
          <w:rFonts w:ascii="Arial" w:hAnsi="Arial" w:cs="Arial"/>
          <w:color w:val="333333"/>
          <w:lang/>
        </w:rPr>
        <w:t>Since the EUSBSR was adopted</w:t>
      </w:r>
      <w:r w:rsidR="0045604E" w:rsidRPr="0045604E">
        <w:rPr>
          <w:rFonts w:ascii="Arial" w:hAnsi="Arial" w:cs="Arial"/>
          <w:color w:val="333333"/>
          <w:lang/>
        </w:rPr>
        <w:t xml:space="preserve"> the </w:t>
      </w:r>
      <w:r w:rsidR="003134BC">
        <w:rPr>
          <w:rFonts w:ascii="Arial" w:hAnsi="Arial" w:cs="Arial"/>
          <w:color w:val="333333"/>
          <w:lang/>
        </w:rPr>
        <w:t xml:space="preserve">Swedish </w:t>
      </w:r>
      <w:r w:rsidR="0045604E" w:rsidRPr="0045604E">
        <w:rPr>
          <w:rFonts w:ascii="Arial" w:hAnsi="Arial" w:cs="Arial"/>
          <w:color w:val="333333"/>
          <w:lang/>
        </w:rPr>
        <w:t xml:space="preserve">Government </w:t>
      </w:r>
      <w:r w:rsidR="003134BC">
        <w:rPr>
          <w:rFonts w:ascii="Arial" w:hAnsi="Arial" w:cs="Arial"/>
          <w:color w:val="333333"/>
          <w:lang/>
        </w:rPr>
        <w:t xml:space="preserve">has </w:t>
      </w:r>
      <w:r w:rsidR="0045604E" w:rsidRPr="0045604E">
        <w:rPr>
          <w:rFonts w:ascii="Arial" w:hAnsi="Arial" w:cs="Arial"/>
          <w:color w:val="333333"/>
          <w:lang/>
        </w:rPr>
        <w:t xml:space="preserve">assigned </w:t>
      </w:r>
      <w:r w:rsidR="0045604E">
        <w:rPr>
          <w:rFonts w:ascii="Arial" w:hAnsi="Arial" w:cs="Arial"/>
          <w:color w:val="333333"/>
          <w:lang/>
        </w:rPr>
        <w:t>37</w:t>
      </w:r>
      <w:r w:rsidR="0045604E" w:rsidRPr="0045604E">
        <w:rPr>
          <w:rFonts w:ascii="Arial" w:hAnsi="Arial" w:cs="Arial"/>
          <w:color w:val="333333"/>
          <w:lang/>
        </w:rPr>
        <w:t xml:space="preserve"> government agencies </w:t>
      </w:r>
      <w:r w:rsidR="0045604E">
        <w:rPr>
          <w:rFonts w:ascii="Arial" w:hAnsi="Arial" w:cs="Arial"/>
          <w:color w:val="333333"/>
          <w:lang/>
        </w:rPr>
        <w:t xml:space="preserve">and 21 County Administration Boards </w:t>
      </w:r>
      <w:r w:rsidR="0045604E" w:rsidRPr="0045604E">
        <w:rPr>
          <w:rFonts w:ascii="Arial" w:hAnsi="Arial" w:cs="Arial"/>
          <w:color w:val="333333"/>
          <w:lang/>
        </w:rPr>
        <w:t xml:space="preserve">to contribute to the implementation of the Strategy, </w:t>
      </w:r>
      <w:proofErr w:type="spellStart"/>
      <w:r w:rsidR="0045604E" w:rsidRPr="0045604E">
        <w:rPr>
          <w:rFonts w:ascii="Arial" w:hAnsi="Arial" w:cs="Arial"/>
          <w:color w:val="333333"/>
          <w:lang/>
        </w:rPr>
        <w:t>Tillväxtverket</w:t>
      </w:r>
      <w:proofErr w:type="spellEnd"/>
      <w:r w:rsidR="001C28CD">
        <w:rPr>
          <w:rFonts w:ascii="Arial" w:hAnsi="Arial" w:cs="Arial"/>
          <w:color w:val="333333"/>
          <w:lang/>
        </w:rPr>
        <w:t xml:space="preserve"> (the Swedish Agency for Economic and Regional Growth)</w:t>
      </w:r>
      <w:r w:rsidR="0045604E" w:rsidRPr="0045604E">
        <w:rPr>
          <w:rFonts w:ascii="Arial" w:hAnsi="Arial" w:cs="Arial"/>
          <w:color w:val="333333"/>
          <w:lang/>
        </w:rPr>
        <w:t xml:space="preserve"> was given the task to </w:t>
      </w:r>
      <w:r>
        <w:rPr>
          <w:rFonts w:ascii="Arial" w:hAnsi="Arial" w:cs="Arial"/>
          <w:color w:val="333333"/>
          <w:lang/>
        </w:rPr>
        <w:t xml:space="preserve">establish a network, </w:t>
      </w:r>
      <w:r w:rsidR="0045604E" w:rsidRPr="0045604E">
        <w:rPr>
          <w:rFonts w:ascii="Arial" w:hAnsi="Arial" w:cs="Arial"/>
          <w:color w:val="333333"/>
          <w:lang/>
        </w:rPr>
        <w:t xml:space="preserve">coordinate and follow up </w:t>
      </w:r>
      <w:r>
        <w:rPr>
          <w:rFonts w:ascii="Arial" w:hAnsi="Arial" w:cs="Arial"/>
          <w:color w:val="333333"/>
          <w:lang/>
        </w:rPr>
        <w:t>the</w:t>
      </w:r>
      <w:r w:rsidR="0045604E" w:rsidRPr="0045604E">
        <w:rPr>
          <w:rFonts w:ascii="Arial" w:hAnsi="Arial" w:cs="Arial"/>
          <w:color w:val="333333"/>
          <w:lang/>
        </w:rPr>
        <w:t xml:space="preserve"> implementation of the Strategy in Sweden in </w:t>
      </w:r>
      <w:r>
        <w:rPr>
          <w:rFonts w:ascii="Arial" w:hAnsi="Arial" w:cs="Arial"/>
          <w:color w:val="333333"/>
          <w:lang/>
        </w:rPr>
        <w:t>consultation with the relevant M</w:t>
      </w:r>
      <w:r w:rsidR="0045604E" w:rsidRPr="0045604E">
        <w:rPr>
          <w:rFonts w:ascii="Arial" w:hAnsi="Arial" w:cs="Arial"/>
          <w:color w:val="333333"/>
          <w:lang/>
        </w:rPr>
        <w:t xml:space="preserve">inistries and the Prime Minister´s Office. </w:t>
      </w:r>
    </w:p>
    <w:p w:rsidR="00616553" w:rsidRDefault="00616553" w:rsidP="0045604E">
      <w:pPr>
        <w:shd w:val="clear" w:color="auto" w:fill="F5F5F5"/>
        <w:textAlignment w:val="top"/>
        <w:rPr>
          <w:rFonts w:ascii="Arial" w:hAnsi="Arial" w:cs="Arial"/>
          <w:color w:val="333333"/>
          <w:lang/>
        </w:rPr>
      </w:pPr>
    </w:p>
    <w:p w:rsidR="00616553" w:rsidRPr="001C28CD" w:rsidRDefault="00616553" w:rsidP="00616553">
      <w:pPr>
        <w:shd w:val="clear" w:color="auto" w:fill="F5F5F5"/>
        <w:textAlignment w:val="top"/>
        <w:rPr>
          <w:rFonts w:ascii="Arial" w:hAnsi="Arial" w:cs="Arial"/>
          <w:color w:val="888888"/>
          <w:lang w:val="en-US"/>
        </w:rPr>
      </w:pPr>
      <w:r w:rsidRPr="001C28CD">
        <w:rPr>
          <w:rFonts w:ascii="Arial" w:hAnsi="Arial" w:cs="Arial"/>
          <w:color w:val="333333"/>
          <w:lang/>
        </w:rPr>
        <w:t xml:space="preserve">Each organization shall annually submit a report to their respective </w:t>
      </w:r>
      <w:r>
        <w:rPr>
          <w:rFonts w:ascii="Arial" w:hAnsi="Arial" w:cs="Arial"/>
          <w:color w:val="333333"/>
          <w:lang/>
        </w:rPr>
        <w:t>ministries</w:t>
      </w:r>
      <w:r w:rsidRPr="001C28CD">
        <w:rPr>
          <w:rFonts w:ascii="Arial" w:hAnsi="Arial" w:cs="Arial"/>
          <w:color w:val="333333"/>
          <w:lang/>
        </w:rPr>
        <w:t xml:space="preserve"> with a copy to the Swedish Agency for Economic and Regional Growth </w:t>
      </w:r>
      <w:r>
        <w:rPr>
          <w:rFonts w:ascii="Arial" w:hAnsi="Arial" w:cs="Arial"/>
          <w:color w:val="333333"/>
          <w:lang/>
        </w:rPr>
        <w:t>concerning activities</w:t>
      </w:r>
      <w:r w:rsidRPr="001C28CD">
        <w:rPr>
          <w:rFonts w:ascii="Arial" w:hAnsi="Arial" w:cs="Arial"/>
          <w:color w:val="333333"/>
          <w:lang/>
        </w:rPr>
        <w:t xml:space="preserve"> during the preceding calendar year. </w:t>
      </w:r>
      <w:proofErr w:type="spellStart"/>
      <w:r>
        <w:rPr>
          <w:rFonts w:ascii="Arial" w:hAnsi="Arial" w:cs="Arial"/>
          <w:color w:val="333333"/>
          <w:lang/>
        </w:rPr>
        <w:t>Tillväxtverket</w:t>
      </w:r>
      <w:proofErr w:type="spellEnd"/>
      <w:r w:rsidRPr="001C28CD">
        <w:rPr>
          <w:rFonts w:ascii="Arial" w:hAnsi="Arial" w:cs="Arial"/>
          <w:color w:val="333333"/>
          <w:lang/>
        </w:rPr>
        <w:t xml:space="preserve"> shall annually prepare a</w:t>
      </w:r>
      <w:r>
        <w:rPr>
          <w:rFonts w:ascii="Arial" w:hAnsi="Arial" w:cs="Arial"/>
          <w:color w:val="333333"/>
          <w:lang/>
        </w:rPr>
        <w:t xml:space="preserve"> consolidated</w:t>
      </w:r>
      <w:r w:rsidRPr="001C28CD">
        <w:rPr>
          <w:rFonts w:ascii="Arial" w:hAnsi="Arial" w:cs="Arial"/>
          <w:color w:val="333333"/>
          <w:lang/>
        </w:rPr>
        <w:t xml:space="preserve"> report </w:t>
      </w:r>
      <w:r>
        <w:rPr>
          <w:rFonts w:ascii="Arial" w:hAnsi="Arial" w:cs="Arial"/>
          <w:color w:val="333333"/>
          <w:lang/>
        </w:rPr>
        <w:t xml:space="preserve">for those </w:t>
      </w:r>
      <w:r w:rsidRPr="001C28CD">
        <w:rPr>
          <w:rFonts w:ascii="Arial" w:hAnsi="Arial" w:cs="Arial"/>
          <w:color w:val="333333"/>
          <w:lang/>
        </w:rPr>
        <w:t xml:space="preserve">authorities </w:t>
      </w:r>
      <w:r>
        <w:rPr>
          <w:rFonts w:ascii="Arial" w:hAnsi="Arial" w:cs="Arial"/>
          <w:color w:val="333333"/>
          <w:lang/>
        </w:rPr>
        <w:t xml:space="preserve">that have got a formal assignment to contribute to the </w:t>
      </w:r>
      <w:r w:rsidRPr="001C28CD">
        <w:rPr>
          <w:rFonts w:ascii="Arial" w:hAnsi="Arial" w:cs="Arial"/>
          <w:color w:val="333333"/>
          <w:lang/>
        </w:rPr>
        <w:t>implement</w:t>
      </w:r>
      <w:r>
        <w:rPr>
          <w:rFonts w:ascii="Arial" w:hAnsi="Arial" w:cs="Arial"/>
          <w:color w:val="333333"/>
          <w:lang/>
        </w:rPr>
        <w:t>ation of</w:t>
      </w:r>
      <w:r w:rsidRPr="001C28CD">
        <w:rPr>
          <w:rFonts w:ascii="Arial" w:hAnsi="Arial" w:cs="Arial"/>
          <w:color w:val="333333"/>
          <w:lang/>
        </w:rPr>
        <w:t xml:space="preserve"> the EU Strategy </w:t>
      </w:r>
      <w:proofErr w:type="gramStart"/>
      <w:r w:rsidRPr="001C28CD">
        <w:rPr>
          <w:rFonts w:ascii="Arial" w:hAnsi="Arial" w:cs="Arial"/>
          <w:color w:val="333333"/>
          <w:lang/>
        </w:rPr>
        <w:t xml:space="preserve">for </w:t>
      </w:r>
      <w:r>
        <w:rPr>
          <w:rFonts w:ascii="Arial" w:hAnsi="Arial" w:cs="Arial"/>
          <w:color w:val="333333"/>
          <w:lang/>
        </w:rPr>
        <w:t xml:space="preserve"> the</w:t>
      </w:r>
      <w:proofErr w:type="gramEnd"/>
      <w:r>
        <w:rPr>
          <w:rFonts w:ascii="Arial" w:hAnsi="Arial" w:cs="Arial"/>
          <w:color w:val="333333"/>
          <w:lang/>
        </w:rPr>
        <w:t xml:space="preserve"> Baltic Sea R</w:t>
      </w:r>
      <w:r w:rsidRPr="001C28CD">
        <w:rPr>
          <w:rFonts w:ascii="Arial" w:hAnsi="Arial" w:cs="Arial"/>
          <w:color w:val="333333"/>
          <w:lang/>
        </w:rPr>
        <w:t>egion</w:t>
      </w:r>
      <w:r>
        <w:rPr>
          <w:rFonts w:ascii="Arial" w:hAnsi="Arial" w:cs="Arial"/>
          <w:color w:val="333333"/>
          <w:lang/>
        </w:rPr>
        <w:t>.</w:t>
      </w:r>
      <w:r w:rsidRPr="001C28CD">
        <w:rPr>
          <w:rFonts w:ascii="Arial" w:hAnsi="Arial" w:cs="Arial"/>
          <w:color w:val="333333"/>
          <w:lang/>
        </w:rPr>
        <w:t xml:space="preserve"> </w:t>
      </w:r>
    </w:p>
    <w:p w:rsidR="0045604E" w:rsidRPr="0045604E" w:rsidRDefault="0045604E" w:rsidP="0045604E">
      <w:pPr>
        <w:shd w:val="clear" w:color="auto" w:fill="F5F5F5"/>
        <w:textAlignment w:val="top"/>
        <w:rPr>
          <w:rFonts w:ascii="Arial" w:hAnsi="Arial" w:cs="Arial"/>
          <w:color w:val="333333"/>
          <w:lang/>
        </w:rPr>
      </w:pPr>
    </w:p>
    <w:p w:rsidR="003134BC" w:rsidRDefault="0045604E" w:rsidP="0045604E">
      <w:pPr>
        <w:shd w:val="clear" w:color="auto" w:fill="F5F5F5"/>
        <w:textAlignment w:val="top"/>
        <w:rPr>
          <w:rFonts w:ascii="Arial" w:hAnsi="Arial" w:cs="Arial"/>
          <w:color w:val="333333"/>
          <w:lang/>
        </w:rPr>
      </w:pPr>
      <w:r w:rsidRPr="0045604E">
        <w:rPr>
          <w:rFonts w:ascii="Arial" w:hAnsi="Arial" w:cs="Arial"/>
          <w:color w:val="333333"/>
          <w:lang/>
        </w:rPr>
        <w:t xml:space="preserve">To fulfill the coordination mission </w:t>
      </w:r>
      <w:proofErr w:type="spellStart"/>
      <w:r w:rsidRPr="0045604E">
        <w:rPr>
          <w:rFonts w:ascii="Arial" w:hAnsi="Arial" w:cs="Arial"/>
          <w:color w:val="333333"/>
          <w:lang/>
        </w:rPr>
        <w:t>Tillväxtverket</w:t>
      </w:r>
      <w:proofErr w:type="spellEnd"/>
      <w:r w:rsidRPr="0045604E">
        <w:rPr>
          <w:rFonts w:ascii="Arial" w:hAnsi="Arial" w:cs="Arial"/>
          <w:color w:val="333333"/>
          <w:lang/>
        </w:rPr>
        <w:t xml:space="preserve"> continuously cooperates with officials in the secretariat of the Prime Minister´s Office and the officials of </w:t>
      </w:r>
      <w:r w:rsidR="003134BC">
        <w:rPr>
          <w:rFonts w:ascii="Arial" w:hAnsi="Arial" w:cs="Arial"/>
          <w:color w:val="333333"/>
          <w:lang/>
        </w:rPr>
        <w:t>relevant ministries.</w:t>
      </w:r>
      <w:r w:rsidRPr="0045604E">
        <w:rPr>
          <w:rFonts w:ascii="Arial" w:hAnsi="Arial" w:cs="Arial"/>
          <w:color w:val="333333"/>
          <w:lang/>
        </w:rPr>
        <w:t xml:space="preserve"> To create conditions for the important and necessary dialogue between the national and regional/local level, officials from government agencies, regions and county administrative boards have been invited </w:t>
      </w:r>
      <w:r>
        <w:rPr>
          <w:rFonts w:ascii="Arial" w:hAnsi="Arial" w:cs="Arial"/>
          <w:color w:val="333333"/>
          <w:lang/>
        </w:rPr>
        <w:t>3-4</w:t>
      </w:r>
      <w:r w:rsidRPr="0045604E">
        <w:rPr>
          <w:rFonts w:ascii="Arial" w:hAnsi="Arial" w:cs="Arial"/>
          <w:color w:val="333333"/>
          <w:lang/>
        </w:rPr>
        <w:t xml:space="preserve"> occasions </w:t>
      </w:r>
      <w:r>
        <w:rPr>
          <w:rFonts w:ascii="Arial" w:hAnsi="Arial" w:cs="Arial"/>
          <w:color w:val="333333"/>
          <w:lang/>
        </w:rPr>
        <w:t xml:space="preserve">yearly </w:t>
      </w:r>
      <w:r w:rsidRPr="0045604E">
        <w:rPr>
          <w:rFonts w:ascii="Arial" w:hAnsi="Arial" w:cs="Arial"/>
          <w:color w:val="333333"/>
          <w:lang/>
        </w:rPr>
        <w:t xml:space="preserve">since </w:t>
      </w:r>
      <w:r>
        <w:rPr>
          <w:rFonts w:ascii="Arial" w:hAnsi="Arial" w:cs="Arial"/>
          <w:color w:val="333333"/>
          <w:lang/>
        </w:rPr>
        <w:t>2010. Between 70 and 8</w:t>
      </w:r>
      <w:r w:rsidRPr="0045604E">
        <w:rPr>
          <w:rFonts w:ascii="Arial" w:hAnsi="Arial" w:cs="Arial"/>
          <w:color w:val="333333"/>
          <w:lang/>
        </w:rPr>
        <w:t xml:space="preserve">0 people attend </w:t>
      </w:r>
      <w:r w:rsidR="00616553">
        <w:rPr>
          <w:rFonts w:ascii="Arial" w:hAnsi="Arial" w:cs="Arial"/>
          <w:color w:val="333333"/>
          <w:lang/>
        </w:rPr>
        <w:t xml:space="preserve">the Network meetings </w:t>
      </w:r>
      <w:r w:rsidRPr="0045604E">
        <w:rPr>
          <w:rFonts w:ascii="Arial" w:hAnsi="Arial" w:cs="Arial"/>
          <w:color w:val="333333"/>
          <w:lang/>
        </w:rPr>
        <w:t>each time. These meetings play an important role in exchanging information and experiences both between the authorities themselves and between the authorities, regions and county administrative boards.</w:t>
      </w:r>
      <w:r w:rsidRPr="0045604E">
        <w:rPr>
          <w:rFonts w:ascii="Arial" w:hAnsi="Arial" w:cs="Arial"/>
          <w:color w:val="333333"/>
          <w:lang/>
        </w:rPr>
        <w:br/>
      </w:r>
      <w:r w:rsidRPr="0045604E">
        <w:rPr>
          <w:rFonts w:ascii="Arial" w:hAnsi="Arial" w:cs="Arial"/>
          <w:color w:val="333333"/>
          <w:lang/>
        </w:rPr>
        <w:br/>
        <w:t xml:space="preserve">The meetings are attended by the Swedish National Contact Point from the Prime Minister's Secretariat and officials from </w:t>
      </w:r>
      <w:r>
        <w:rPr>
          <w:rFonts w:ascii="Arial" w:hAnsi="Arial" w:cs="Arial"/>
          <w:color w:val="333333"/>
          <w:lang/>
        </w:rPr>
        <w:t>relevant Ministries.</w:t>
      </w:r>
      <w:r w:rsidRPr="0045604E">
        <w:rPr>
          <w:rFonts w:ascii="Arial" w:hAnsi="Arial" w:cs="Arial"/>
          <w:color w:val="333333"/>
          <w:lang/>
        </w:rPr>
        <w:t xml:space="preserve"> They provide valuable information on ongoing work within the respective ministries in the implementation of the Strategy, bringing information from the "high-level group meetings" and other relevant meetings at EU level. Officials from</w:t>
      </w:r>
      <w:r w:rsidR="00616553">
        <w:rPr>
          <w:rFonts w:ascii="Arial" w:hAnsi="Arial" w:cs="Arial"/>
          <w:color w:val="333333"/>
          <w:lang/>
        </w:rPr>
        <w:t xml:space="preserve"> the Swedish Institute (</w:t>
      </w:r>
      <w:r>
        <w:rPr>
          <w:rFonts w:ascii="Arial" w:hAnsi="Arial" w:cs="Arial"/>
          <w:color w:val="333333"/>
          <w:lang/>
        </w:rPr>
        <w:t>former</w:t>
      </w:r>
      <w:r w:rsidRPr="0045604E">
        <w:rPr>
          <w:rFonts w:ascii="Arial" w:hAnsi="Arial" w:cs="Arial"/>
          <w:color w:val="333333"/>
          <w:lang/>
        </w:rPr>
        <w:t xml:space="preserve"> SIDA Baltic Sea Unit</w:t>
      </w:r>
      <w:r>
        <w:rPr>
          <w:rFonts w:ascii="Arial" w:hAnsi="Arial" w:cs="Arial"/>
          <w:color w:val="333333"/>
          <w:lang/>
        </w:rPr>
        <w:t>)</w:t>
      </w:r>
      <w:r w:rsidRPr="0045604E">
        <w:rPr>
          <w:rFonts w:ascii="Arial" w:hAnsi="Arial" w:cs="Arial"/>
          <w:color w:val="333333"/>
          <w:lang/>
        </w:rPr>
        <w:t xml:space="preserve"> have informed about the options available to obtain "seed money" for projects in early stages. In order to get a connection to the municipal level, officials from the Swedish A</w:t>
      </w:r>
      <w:r w:rsidR="004B1BA2">
        <w:rPr>
          <w:rFonts w:ascii="Arial" w:hAnsi="Arial" w:cs="Arial"/>
          <w:color w:val="333333"/>
          <w:lang/>
        </w:rPr>
        <w:t>ssociation</w:t>
      </w:r>
      <w:r w:rsidRPr="0045604E">
        <w:rPr>
          <w:rFonts w:ascii="Arial" w:hAnsi="Arial" w:cs="Arial"/>
          <w:color w:val="333333"/>
          <w:lang/>
        </w:rPr>
        <w:t xml:space="preserve"> for Local Authorities and Regions participate in the above mentioned meetings. Furthermore the participants inform each other about the ongoing work within their respective organizations. They also present specific projects. In addition to the mutual exchange, there are discussions about; funding sources, definitions of fla</w:t>
      </w:r>
      <w:r w:rsidR="00616553">
        <w:rPr>
          <w:rFonts w:ascii="Arial" w:hAnsi="Arial" w:cs="Arial"/>
          <w:color w:val="333333"/>
          <w:lang/>
        </w:rPr>
        <w:t>gship projects</w:t>
      </w:r>
      <w:proofErr w:type="gramStart"/>
      <w:r w:rsidR="00616553">
        <w:rPr>
          <w:rFonts w:ascii="Arial" w:hAnsi="Arial" w:cs="Arial"/>
          <w:color w:val="333333"/>
          <w:lang/>
        </w:rPr>
        <w:t xml:space="preserve">, </w:t>
      </w:r>
      <w:r w:rsidRPr="0045604E">
        <w:rPr>
          <w:rFonts w:ascii="Arial" w:hAnsi="Arial" w:cs="Arial"/>
          <w:color w:val="333333"/>
          <w:lang/>
        </w:rPr>
        <w:t xml:space="preserve"> role</w:t>
      </w:r>
      <w:r w:rsidR="00616553">
        <w:rPr>
          <w:rFonts w:ascii="Arial" w:hAnsi="Arial" w:cs="Arial"/>
          <w:color w:val="333333"/>
          <w:lang/>
        </w:rPr>
        <w:t>s</w:t>
      </w:r>
      <w:proofErr w:type="gramEnd"/>
      <w:r w:rsidR="00616553">
        <w:rPr>
          <w:rFonts w:ascii="Arial" w:hAnsi="Arial" w:cs="Arial"/>
          <w:color w:val="333333"/>
          <w:lang/>
        </w:rPr>
        <w:t xml:space="preserve"> and responsibilities</w:t>
      </w:r>
      <w:r w:rsidR="006A00E4">
        <w:rPr>
          <w:rFonts w:ascii="Arial" w:hAnsi="Arial" w:cs="Arial"/>
          <w:color w:val="333333"/>
          <w:lang/>
        </w:rPr>
        <w:t xml:space="preserve"> etc</w:t>
      </w:r>
      <w:r w:rsidRPr="0045604E">
        <w:rPr>
          <w:rFonts w:ascii="Arial" w:hAnsi="Arial" w:cs="Arial"/>
          <w:color w:val="333333"/>
          <w:lang/>
        </w:rPr>
        <w:t>.</w:t>
      </w:r>
    </w:p>
    <w:p w:rsidR="003134BC" w:rsidRDefault="003134BC" w:rsidP="0045604E">
      <w:pPr>
        <w:shd w:val="clear" w:color="auto" w:fill="F5F5F5"/>
        <w:textAlignment w:val="top"/>
        <w:rPr>
          <w:rFonts w:ascii="Arial" w:hAnsi="Arial" w:cs="Arial"/>
          <w:color w:val="333333"/>
          <w:lang/>
        </w:rPr>
      </w:pPr>
    </w:p>
    <w:p w:rsidR="003134BC" w:rsidRPr="003134BC" w:rsidRDefault="003134BC" w:rsidP="003134BC">
      <w:pPr>
        <w:shd w:val="clear" w:color="auto" w:fill="F5F5F5"/>
        <w:textAlignment w:val="top"/>
        <w:rPr>
          <w:rFonts w:ascii="Arial" w:hAnsi="Arial" w:cs="Arial"/>
          <w:color w:val="888888"/>
          <w:lang w:val="en-US"/>
        </w:rPr>
      </w:pPr>
      <w:r w:rsidRPr="003134BC">
        <w:rPr>
          <w:rFonts w:ascii="Arial" w:hAnsi="Arial" w:cs="Arial"/>
          <w:color w:val="333333"/>
          <w:lang/>
        </w:rPr>
        <w:t xml:space="preserve">Following requests from </w:t>
      </w:r>
      <w:r w:rsidR="00BC604A">
        <w:rPr>
          <w:rFonts w:ascii="Arial" w:hAnsi="Arial" w:cs="Arial"/>
          <w:color w:val="333333"/>
          <w:lang/>
        </w:rPr>
        <w:t xml:space="preserve">the </w:t>
      </w:r>
      <w:r w:rsidR="006A00E4">
        <w:rPr>
          <w:rFonts w:ascii="Arial" w:hAnsi="Arial" w:cs="Arial"/>
          <w:color w:val="333333"/>
          <w:lang/>
        </w:rPr>
        <w:t xml:space="preserve">Network </w:t>
      </w:r>
      <w:r w:rsidRPr="003134BC">
        <w:rPr>
          <w:rFonts w:ascii="Arial" w:hAnsi="Arial" w:cs="Arial"/>
          <w:color w:val="333333"/>
          <w:lang/>
        </w:rPr>
        <w:t xml:space="preserve">participants, a number of </w:t>
      </w:r>
      <w:r w:rsidR="006A00E4">
        <w:rPr>
          <w:rFonts w:ascii="Arial" w:hAnsi="Arial" w:cs="Arial"/>
          <w:color w:val="333333"/>
          <w:lang/>
        </w:rPr>
        <w:t>sub-working</w:t>
      </w:r>
      <w:r w:rsidRPr="003134BC">
        <w:rPr>
          <w:rFonts w:ascii="Arial" w:hAnsi="Arial" w:cs="Arial"/>
          <w:color w:val="333333"/>
          <w:lang/>
        </w:rPr>
        <w:t xml:space="preserve"> groups </w:t>
      </w:r>
      <w:r w:rsidR="006A00E4">
        <w:rPr>
          <w:rFonts w:ascii="Arial" w:hAnsi="Arial" w:cs="Arial"/>
          <w:color w:val="333333"/>
          <w:lang/>
        </w:rPr>
        <w:t>are being established</w:t>
      </w:r>
      <w:r w:rsidRPr="003134BC">
        <w:rPr>
          <w:rFonts w:ascii="Arial" w:hAnsi="Arial" w:cs="Arial"/>
          <w:color w:val="333333"/>
          <w:lang/>
        </w:rPr>
        <w:t>. So far, the</w:t>
      </w:r>
      <w:r w:rsidR="00BC604A">
        <w:rPr>
          <w:rFonts w:ascii="Arial" w:hAnsi="Arial" w:cs="Arial"/>
          <w:color w:val="333333"/>
          <w:lang/>
        </w:rPr>
        <w:t>re</w:t>
      </w:r>
      <w:r w:rsidRPr="003134BC">
        <w:rPr>
          <w:rFonts w:ascii="Arial" w:hAnsi="Arial" w:cs="Arial"/>
          <w:color w:val="333333"/>
          <w:lang/>
        </w:rPr>
        <w:t xml:space="preserve"> </w:t>
      </w:r>
      <w:r w:rsidR="00BC604A">
        <w:rPr>
          <w:rFonts w:ascii="Arial" w:hAnsi="Arial" w:cs="Arial"/>
          <w:color w:val="333333"/>
          <w:lang/>
        </w:rPr>
        <w:t xml:space="preserve">are </w:t>
      </w:r>
      <w:r w:rsidRPr="003134BC">
        <w:rPr>
          <w:rFonts w:ascii="Arial" w:hAnsi="Arial" w:cs="Arial"/>
          <w:color w:val="333333"/>
          <w:lang/>
        </w:rPr>
        <w:t>groups dealing with the social dimension, education and the Digital Agenda.</w:t>
      </w:r>
    </w:p>
    <w:p w:rsidR="001A2B95" w:rsidRPr="005C1079" w:rsidRDefault="0045604E" w:rsidP="005C1079">
      <w:pPr>
        <w:shd w:val="clear" w:color="auto" w:fill="F5F5F5"/>
        <w:textAlignment w:val="top"/>
        <w:rPr>
          <w:rFonts w:ascii="Arial" w:hAnsi="Arial" w:cs="Arial"/>
          <w:color w:val="888888"/>
          <w:lang/>
        </w:rPr>
      </w:pPr>
      <w:r w:rsidRPr="0045604E">
        <w:rPr>
          <w:rFonts w:ascii="Arial" w:hAnsi="Arial" w:cs="Arial"/>
          <w:color w:val="333333"/>
          <w:lang/>
        </w:rPr>
        <w:br/>
        <w:t>Regardin</w:t>
      </w:r>
      <w:r>
        <w:rPr>
          <w:rFonts w:ascii="Arial" w:hAnsi="Arial" w:cs="Arial"/>
          <w:color w:val="333333"/>
          <w:lang/>
        </w:rPr>
        <w:t>g water management issues, the County Administrative B</w:t>
      </w:r>
      <w:r w:rsidRPr="0045604E">
        <w:rPr>
          <w:rFonts w:ascii="Arial" w:hAnsi="Arial" w:cs="Arial"/>
          <w:color w:val="333333"/>
          <w:lang/>
        </w:rPr>
        <w:t xml:space="preserve">oards concerned, which </w:t>
      </w:r>
      <w:r w:rsidR="004F7502">
        <w:rPr>
          <w:rFonts w:ascii="Arial" w:hAnsi="Arial" w:cs="Arial"/>
          <w:color w:val="333333"/>
          <w:lang/>
        </w:rPr>
        <w:t xml:space="preserve">are </w:t>
      </w:r>
      <w:r w:rsidRPr="0045604E">
        <w:rPr>
          <w:rFonts w:ascii="Arial" w:hAnsi="Arial" w:cs="Arial"/>
          <w:color w:val="333333"/>
          <w:lang/>
        </w:rPr>
        <w:t>also appointed as “Water Authority”, have built up an integrated water management structure with a new network-like approach. In addition, they have built up, developed and participated in the Nordic and European network of water management issues. By initiating a comparative study of how the Nordic countries have implemented the Water Framework Directive, the Water Authorities have contributed to increasing the understanding of how water management is conducted in other European countries.</w:t>
      </w:r>
      <w:r w:rsidRPr="0045604E">
        <w:rPr>
          <w:rFonts w:ascii="Arial" w:hAnsi="Arial" w:cs="Arial"/>
          <w:color w:val="333333"/>
          <w:lang/>
        </w:rPr>
        <w:br/>
      </w:r>
      <w:r w:rsidRPr="0045604E">
        <w:rPr>
          <w:rFonts w:ascii="Arial" w:hAnsi="Arial" w:cs="Arial"/>
          <w:color w:val="333333"/>
          <w:lang/>
        </w:rPr>
        <w:br/>
        <w:t xml:space="preserve">The </w:t>
      </w:r>
      <w:r w:rsidR="004F7502">
        <w:rPr>
          <w:rFonts w:ascii="Arial" w:hAnsi="Arial" w:cs="Arial"/>
          <w:color w:val="333333"/>
          <w:lang/>
        </w:rPr>
        <w:t>Managing Authority for the ERDF (European Regional Development Fund)</w:t>
      </w:r>
      <w:bookmarkStart w:id="0" w:name="_GoBack"/>
      <w:bookmarkEnd w:id="0"/>
      <w:r w:rsidRPr="0045604E">
        <w:rPr>
          <w:rFonts w:ascii="Arial" w:hAnsi="Arial" w:cs="Arial"/>
          <w:color w:val="333333"/>
          <w:lang/>
        </w:rPr>
        <w:t xml:space="preserve"> in Sweden has participated in a concrete way in the dissemination of the strategy to the local level. This has been done by informing about the strategy and its possibilities. In connection with the announcement of calls for proposals, a new selection criterion was added where applications must clearly state how the project contributes to implementation of the EU Strategy for Baltic Sea Region.</w:t>
      </w:r>
      <w:r w:rsidRPr="0045604E">
        <w:rPr>
          <w:rFonts w:ascii="Arial" w:hAnsi="Arial" w:cs="Arial"/>
          <w:color w:val="333333"/>
          <w:lang/>
        </w:rPr>
        <w:br/>
      </w:r>
      <w:r w:rsidRPr="0045604E">
        <w:rPr>
          <w:rFonts w:ascii="Arial" w:hAnsi="Arial" w:cs="Arial"/>
          <w:color w:val="333333"/>
          <w:lang/>
        </w:rPr>
        <w:br/>
      </w:r>
    </w:p>
    <w:sectPr w:rsidR="001A2B95" w:rsidRPr="005C1079" w:rsidSect="00B0109D">
      <w:headerReference w:type="default" r:id="rId7"/>
      <w:footerReference w:type="default" r:id="rId8"/>
      <w:headerReference w:type="first" r:id="rId9"/>
      <w:footerReference w:type="first" r:id="rId10"/>
      <w:type w:val="continuous"/>
      <w:pgSz w:w="11906" w:h="16838" w:code="9"/>
      <w:pgMar w:top="1111" w:right="1701" w:bottom="96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898" w:rsidRDefault="00C90898">
      <w:r>
        <w:separator/>
      </w:r>
    </w:p>
  </w:endnote>
  <w:endnote w:type="continuationSeparator" w:id="0">
    <w:p w:rsidR="00C90898" w:rsidRDefault="00C90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BC" w:rsidRPr="008B4C7B" w:rsidRDefault="003134BC" w:rsidP="008B4C7B">
    <w:pPr>
      <w:pStyle w:val="Footer"/>
      <w:tabs>
        <w:tab w:val="clear" w:pos="9072"/>
        <w:tab w:val="left" w:pos="5201"/>
      </w:tabs>
      <w:rPr>
        <w:rFonts w:ascii="Arial" w:hAnsi="Arial" w:cs="Arial"/>
        <w:sz w:val="16"/>
        <w:szCs w:val="16"/>
      </w:rPr>
    </w:pPr>
    <w:r w:rsidRPr="008B4C7B">
      <w:rPr>
        <w:rFonts w:ascii="Arial" w:hAnsi="Arial" w:cs="Arial"/>
        <w:sz w:val="16"/>
        <w:szCs w:val="16"/>
      </w:rPr>
      <w:tab/>
    </w:r>
    <w:r w:rsidR="00060DEF" w:rsidRPr="008B4C7B">
      <w:rPr>
        <w:rStyle w:val="PageNumber"/>
        <w:rFonts w:ascii="Arial" w:hAnsi="Arial" w:cs="Arial"/>
        <w:sz w:val="16"/>
        <w:szCs w:val="16"/>
      </w:rPr>
      <w:fldChar w:fldCharType="begin"/>
    </w:r>
    <w:r w:rsidRPr="008B4C7B">
      <w:rPr>
        <w:rStyle w:val="PageNumber"/>
        <w:rFonts w:ascii="Arial" w:hAnsi="Arial" w:cs="Arial"/>
        <w:sz w:val="16"/>
        <w:szCs w:val="16"/>
      </w:rPr>
      <w:instrText xml:space="preserve"> PAGE </w:instrText>
    </w:r>
    <w:r w:rsidR="00060DEF" w:rsidRPr="008B4C7B">
      <w:rPr>
        <w:rStyle w:val="PageNumber"/>
        <w:rFonts w:ascii="Arial" w:hAnsi="Arial" w:cs="Arial"/>
        <w:sz w:val="16"/>
        <w:szCs w:val="16"/>
      </w:rPr>
      <w:fldChar w:fldCharType="separate"/>
    </w:r>
    <w:r w:rsidR="005C1079">
      <w:rPr>
        <w:rStyle w:val="PageNumber"/>
        <w:rFonts w:ascii="Arial" w:hAnsi="Arial" w:cs="Arial"/>
        <w:noProof/>
        <w:sz w:val="16"/>
        <w:szCs w:val="16"/>
      </w:rPr>
      <w:t>2</w:t>
    </w:r>
    <w:r w:rsidR="00060DEF" w:rsidRPr="008B4C7B">
      <w:rPr>
        <w:rStyle w:val="PageNumber"/>
        <w:rFonts w:ascii="Arial" w:hAnsi="Arial" w:cs="Arial"/>
        <w:sz w:val="16"/>
        <w:szCs w:val="16"/>
      </w:rPr>
      <w:fldChar w:fldCharType="end"/>
    </w:r>
    <w:r w:rsidRPr="008B4C7B">
      <w:rPr>
        <w:rStyle w:val="PageNumber"/>
        <w:rFonts w:ascii="Arial" w:hAnsi="Arial" w:cs="Arial"/>
        <w:sz w:val="16"/>
        <w:szCs w:val="16"/>
      </w:rPr>
      <w:t xml:space="preserve"> (</w:t>
    </w:r>
    <w:r w:rsidR="00060DEF" w:rsidRPr="008B4C7B">
      <w:rPr>
        <w:rStyle w:val="PageNumber"/>
        <w:rFonts w:ascii="Arial" w:hAnsi="Arial" w:cs="Arial"/>
        <w:sz w:val="16"/>
        <w:szCs w:val="16"/>
      </w:rPr>
      <w:fldChar w:fldCharType="begin"/>
    </w:r>
    <w:r w:rsidRPr="008B4C7B">
      <w:rPr>
        <w:rStyle w:val="PageNumber"/>
        <w:rFonts w:ascii="Arial" w:hAnsi="Arial" w:cs="Arial"/>
        <w:sz w:val="16"/>
        <w:szCs w:val="16"/>
      </w:rPr>
      <w:instrText xml:space="preserve"> NUMPAGES </w:instrText>
    </w:r>
    <w:r w:rsidR="00060DEF" w:rsidRPr="008B4C7B">
      <w:rPr>
        <w:rStyle w:val="PageNumber"/>
        <w:rFonts w:ascii="Arial" w:hAnsi="Arial" w:cs="Arial"/>
        <w:sz w:val="16"/>
        <w:szCs w:val="16"/>
      </w:rPr>
      <w:fldChar w:fldCharType="separate"/>
    </w:r>
    <w:r w:rsidR="005C1079">
      <w:rPr>
        <w:rStyle w:val="PageNumber"/>
        <w:rFonts w:ascii="Arial" w:hAnsi="Arial" w:cs="Arial"/>
        <w:noProof/>
        <w:sz w:val="16"/>
        <w:szCs w:val="16"/>
      </w:rPr>
      <w:t>2</w:t>
    </w:r>
    <w:r w:rsidR="00060DEF" w:rsidRPr="008B4C7B">
      <w:rPr>
        <w:rStyle w:val="PageNumber"/>
        <w:rFonts w:ascii="Arial" w:hAnsi="Arial" w:cs="Arial"/>
        <w:sz w:val="16"/>
        <w:szCs w:val="16"/>
      </w:rPr>
      <w:fldChar w:fldCharType="end"/>
    </w:r>
    <w:r w:rsidRPr="008B4C7B">
      <w:rPr>
        <w:rStyle w:val="PageNumber"/>
        <w:rFonts w:ascii="Arial" w:hAnsi="Arial" w:cs="Arial"/>
        <w:sz w:val="16"/>
        <w:szCs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BC" w:rsidRPr="005338AE" w:rsidRDefault="003134BC" w:rsidP="00B0109D">
    <w:pPr>
      <w:pStyle w:val="Footer"/>
      <w:jc w:val="center"/>
      <w:rPr>
        <w:rFonts w:ascii="Arial" w:hAnsi="Arial" w:cs="Arial"/>
        <w:sz w:val="16"/>
        <w:szCs w:val="16"/>
      </w:rPr>
    </w:pPr>
    <w:r w:rsidRPr="005338AE">
      <w:rPr>
        <w:rFonts w:ascii="Arial" w:hAnsi="Arial" w:cs="Arial"/>
        <w:sz w:val="16"/>
        <w:szCs w:val="16"/>
      </w:rPr>
      <w:t>1 (</w:t>
    </w:r>
    <w:r w:rsidR="00060DEF" w:rsidRPr="005338AE">
      <w:rPr>
        <w:rStyle w:val="PageNumber"/>
        <w:rFonts w:ascii="Arial" w:hAnsi="Arial" w:cs="Arial"/>
        <w:sz w:val="16"/>
        <w:szCs w:val="16"/>
      </w:rPr>
      <w:fldChar w:fldCharType="begin"/>
    </w:r>
    <w:r w:rsidRPr="005338AE">
      <w:rPr>
        <w:rStyle w:val="PageNumber"/>
        <w:rFonts w:ascii="Arial" w:hAnsi="Arial" w:cs="Arial"/>
        <w:sz w:val="16"/>
        <w:szCs w:val="16"/>
      </w:rPr>
      <w:instrText xml:space="preserve"> NUMPAGES </w:instrText>
    </w:r>
    <w:r w:rsidR="00060DEF" w:rsidRPr="005338AE">
      <w:rPr>
        <w:rStyle w:val="PageNumber"/>
        <w:rFonts w:ascii="Arial" w:hAnsi="Arial" w:cs="Arial"/>
        <w:sz w:val="16"/>
        <w:szCs w:val="16"/>
      </w:rPr>
      <w:fldChar w:fldCharType="separate"/>
    </w:r>
    <w:r w:rsidR="005C1079">
      <w:rPr>
        <w:rStyle w:val="PageNumber"/>
        <w:rFonts w:ascii="Arial" w:hAnsi="Arial" w:cs="Arial"/>
        <w:noProof/>
        <w:sz w:val="16"/>
        <w:szCs w:val="16"/>
      </w:rPr>
      <w:t>1</w:t>
    </w:r>
    <w:r w:rsidR="00060DEF" w:rsidRPr="005338AE">
      <w:rPr>
        <w:rStyle w:val="PageNumber"/>
        <w:rFonts w:ascii="Arial" w:hAnsi="Arial" w:cs="Arial"/>
        <w:sz w:val="16"/>
        <w:szCs w:val="16"/>
      </w:rPr>
      <w:fldChar w:fldCharType="end"/>
    </w:r>
    <w:r w:rsidRPr="005338AE">
      <w:rPr>
        <w:rStyle w:val="PageNumbe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898" w:rsidRDefault="00C90898">
      <w:r>
        <w:separator/>
      </w:r>
    </w:p>
  </w:footnote>
  <w:footnote w:type="continuationSeparator" w:id="0">
    <w:p w:rsidR="00C90898" w:rsidRDefault="00C90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BC" w:rsidRDefault="003134BC" w:rsidP="005338AE">
    <w:pPr>
      <w:ind w:left="-709" w:right="-994"/>
      <w:jc w:val="right"/>
      <w:rPr>
        <w:rStyle w:val="PageNumber"/>
      </w:rPr>
    </w:pPr>
    <w:r>
      <w:rPr>
        <w:noProof/>
        <w:lang w:val="fi-FI" w:eastAsia="fi-FI"/>
      </w:rPr>
      <w:drawing>
        <wp:inline distT="0" distB="0" distL="0" distR="0">
          <wp:extent cx="895350" cy="352425"/>
          <wp:effectExtent l="0" t="0" r="0" b="0"/>
          <wp:docPr id="1" name="Bild 1" descr="Tillvaxtverket_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lvaxtverket_3c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352425"/>
                  </a:xfrm>
                  <a:prstGeom prst="rect">
                    <a:avLst/>
                  </a:prstGeom>
                  <a:noFill/>
                  <a:ln>
                    <a:noFill/>
                  </a:ln>
                </pic:spPr>
              </pic:pic>
            </a:graphicData>
          </a:graphic>
        </wp:inline>
      </w:drawing>
    </w:r>
  </w:p>
  <w:p w:rsidR="003134BC" w:rsidRPr="00DD578B" w:rsidRDefault="003134BC" w:rsidP="006A29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BC" w:rsidRDefault="003134BC" w:rsidP="00FA212F">
    <w:pPr>
      <w:tabs>
        <w:tab w:val="right" w:pos="8504"/>
      </w:tabs>
      <w:ind w:left="-709"/>
      <w:rPr>
        <w:rStyle w:val="PageNumber"/>
      </w:rPr>
    </w:pPr>
    <w:r>
      <w:rPr>
        <w:rStyle w:val="PageNumber"/>
      </w:rPr>
      <w:tab/>
    </w:r>
    <w:r>
      <w:rPr>
        <w:noProof/>
        <w:lang w:val="fi-FI" w:eastAsia="fi-FI"/>
      </w:rPr>
      <w:drawing>
        <wp:inline distT="0" distB="0" distL="0" distR="0">
          <wp:extent cx="1076325" cy="419100"/>
          <wp:effectExtent l="0" t="0" r="0" b="0"/>
          <wp:docPr id="2" name="Bild 2" descr="Tillvaxtverket_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lvaxtverket_3c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419100"/>
                  </a:xfrm>
                  <a:prstGeom prst="rect">
                    <a:avLst/>
                  </a:prstGeom>
                  <a:noFill/>
                  <a:ln>
                    <a:noFill/>
                  </a:ln>
                </pic:spPr>
              </pic:pic>
            </a:graphicData>
          </a:graphic>
        </wp:inline>
      </w:drawing>
    </w:r>
  </w:p>
  <w:p w:rsidR="003134BC" w:rsidRDefault="003134BC" w:rsidP="00B0109D">
    <w:pPr>
      <w:ind w:left="-709"/>
      <w:rPr>
        <w:rFonts w:ascii="Arial" w:hAnsi="Arial" w:cs="Arial"/>
        <w:sz w:val="16"/>
        <w:szCs w:val="16"/>
      </w:rPr>
    </w:pPr>
  </w:p>
  <w:p w:rsidR="003134BC" w:rsidRDefault="003134BC" w:rsidP="00B0109D">
    <w:pPr>
      <w:ind w:left="-709"/>
      <w:rPr>
        <w:rFonts w:ascii="Arial" w:hAnsi="Arial" w:cs="Arial"/>
        <w:sz w:val="16"/>
        <w:szCs w:val="16"/>
      </w:rPr>
    </w:pPr>
  </w:p>
  <w:p w:rsidR="003134BC" w:rsidRPr="005338AE" w:rsidRDefault="003134BC" w:rsidP="00B0109D">
    <w:pPr>
      <w:ind w:left="-709"/>
      <w:rPr>
        <w:rFonts w:ascii="Arial" w:hAnsi="Arial" w:cs="Arial"/>
        <w:sz w:val="16"/>
        <w:szCs w:val="16"/>
      </w:rPr>
    </w:pPr>
  </w:p>
  <w:tbl>
    <w:tblPr>
      <w:tblW w:w="0" w:type="auto"/>
      <w:tblInd w:w="108" w:type="dxa"/>
      <w:tblLayout w:type="fixed"/>
      <w:tblLook w:val="01E0"/>
    </w:tblPr>
    <w:tblGrid>
      <w:gridCol w:w="1647"/>
      <w:gridCol w:w="2748"/>
      <w:gridCol w:w="2353"/>
      <w:gridCol w:w="1700"/>
    </w:tblGrid>
    <w:tr w:rsidR="003134BC" w:rsidRPr="005338AE" w:rsidTr="009922A1">
      <w:tc>
        <w:tcPr>
          <w:tcW w:w="4395" w:type="dxa"/>
          <w:gridSpan w:val="2"/>
          <w:tcBorders>
            <w:bottom w:val="single" w:sz="4" w:space="0" w:color="auto"/>
          </w:tcBorders>
          <w:shd w:val="clear" w:color="auto" w:fill="auto"/>
        </w:tcPr>
        <w:p w:rsidR="003134BC" w:rsidRPr="005338AE" w:rsidRDefault="003134BC" w:rsidP="00354073">
          <w:pPr>
            <w:pStyle w:val="Ledtext"/>
          </w:pPr>
          <w:r w:rsidRPr="005338AE">
            <w:t>Dokumentnamn</w:t>
          </w:r>
        </w:p>
      </w:tc>
      <w:tc>
        <w:tcPr>
          <w:tcW w:w="2353" w:type="dxa"/>
          <w:tcBorders>
            <w:bottom w:val="single" w:sz="4" w:space="0" w:color="auto"/>
          </w:tcBorders>
          <w:shd w:val="clear" w:color="auto" w:fill="auto"/>
        </w:tcPr>
        <w:p w:rsidR="003134BC" w:rsidRPr="005338AE" w:rsidRDefault="003134BC" w:rsidP="00354073">
          <w:pPr>
            <w:pStyle w:val="Ledtext"/>
          </w:pPr>
          <w:r w:rsidRPr="005338AE">
            <w:t>Dokumenttyp</w:t>
          </w:r>
        </w:p>
      </w:tc>
      <w:tc>
        <w:tcPr>
          <w:tcW w:w="1700" w:type="dxa"/>
          <w:tcBorders>
            <w:bottom w:val="single" w:sz="4" w:space="0" w:color="auto"/>
          </w:tcBorders>
          <w:shd w:val="clear" w:color="auto" w:fill="auto"/>
        </w:tcPr>
        <w:p w:rsidR="003134BC" w:rsidRPr="005338AE" w:rsidRDefault="003134BC" w:rsidP="00354073">
          <w:pPr>
            <w:pStyle w:val="Ledtext"/>
          </w:pPr>
          <w:r w:rsidRPr="005338AE">
            <w:t>Datum</w:t>
          </w:r>
        </w:p>
      </w:tc>
    </w:tr>
    <w:tr w:rsidR="003134BC" w:rsidRPr="005338AE" w:rsidTr="009922A1">
      <w:trPr>
        <w:trHeight w:val="255"/>
      </w:trPr>
      <w:tc>
        <w:tcPr>
          <w:tcW w:w="4395" w:type="dxa"/>
          <w:gridSpan w:val="2"/>
          <w:tcBorders>
            <w:top w:val="single" w:sz="4" w:space="0" w:color="auto"/>
          </w:tcBorders>
        </w:tcPr>
        <w:p w:rsidR="003134BC" w:rsidRPr="005338AE" w:rsidRDefault="003134BC" w:rsidP="00354073">
          <w:pPr>
            <w:pStyle w:val="Ledtext2"/>
          </w:pPr>
        </w:p>
      </w:tc>
      <w:tc>
        <w:tcPr>
          <w:tcW w:w="2353" w:type="dxa"/>
          <w:tcBorders>
            <w:top w:val="single" w:sz="4" w:space="0" w:color="auto"/>
          </w:tcBorders>
        </w:tcPr>
        <w:p w:rsidR="003134BC" w:rsidRPr="005338AE" w:rsidRDefault="003134BC" w:rsidP="00354073">
          <w:pPr>
            <w:pStyle w:val="Ledtext2"/>
          </w:pPr>
        </w:p>
      </w:tc>
      <w:tc>
        <w:tcPr>
          <w:tcW w:w="1700" w:type="dxa"/>
          <w:tcBorders>
            <w:top w:val="single" w:sz="4" w:space="0" w:color="auto"/>
          </w:tcBorders>
        </w:tcPr>
        <w:p w:rsidR="003134BC" w:rsidRPr="005338AE" w:rsidRDefault="003134BC" w:rsidP="00354073">
          <w:pPr>
            <w:pStyle w:val="Ledtext2"/>
          </w:pPr>
        </w:p>
      </w:tc>
    </w:tr>
    <w:tr w:rsidR="003134BC" w:rsidRPr="005338AE" w:rsidTr="009922A1">
      <w:tc>
        <w:tcPr>
          <w:tcW w:w="1647" w:type="dxa"/>
          <w:tcBorders>
            <w:bottom w:val="single" w:sz="4" w:space="0" w:color="auto"/>
          </w:tcBorders>
          <w:shd w:val="clear" w:color="auto" w:fill="auto"/>
        </w:tcPr>
        <w:p w:rsidR="003134BC" w:rsidRPr="005338AE" w:rsidRDefault="003134BC" w:rsidP="00354073">
          <w:pPr>
            <w:pStyle w:val="Ledtext"/>
          </w:pPr>
          <w:proofErr w:type="spellStart"/>
          <w:r w:rsidRPr="005338AE">
            <w:t>Diarienr/Projektnr</w:t>
          </w:r>
          <w:proofErr w:type="spellEnd"/>
        </w:p>
      </w:tc>
      <w:tc>
        <w:tcPr>
          <w:tcW w:w="2748" w:type="dxa"/>
          <w:tcBorders>
            <w:bottom w:val="single" w:sz="4" w:space="0" w:color="auto"/>
          </w:tcBorders>
          <w:shd w:val="clear" w:color="auto" w:fill="auto"/>
        </w:tcPr>
        <w:p w:rsidR="003134BC" w:rsidRPr="005338AE" w:rsidRDefault="003134BC" w:rsidP="00354073">
          <w:pPr>
            <w:pStyle w:val="Ledtext"/>
          </w:pPr>
          <w:r w:rsidRPr="005338AE">
            <w:t>Upprättad av</w:t>
          </w:r>
        </w:p>
      </w:tc>
      <w:tc>
        <w:tcPr>
          <w:tcW w:w="2353" w:type="dxa"/>
          <w:tcBorders>
            <w:bottom w:val="single" w:sz="4" w:space="0" w:color="auto"/>
          </w:tcBorders>
          <w:shd w:val="clear" w:color="auto" w:fill="auto"/>
        </w:tcPr>
        <w:p w:rsidR="003134BC" w:rsidRPr="005338AE" w:rsidRDefault="003134BC" w:rsidP="00354073">
          <w:pPr>
            <w:pStyle w:val="Ledtext"/>
          </w:pPr>
          <w:r w:rsidRPr="005338AE">
            <w:t>Godkänd av</w:t>
          </w:r>
        </w:p>
      </w:tc>
      <w:tc>
        <w:tcPr>
          <w:tcW w:w="1700" w:type="dxa"/>
          <w:tcBorders>
            <w:bottom w:val="single" w:sz="4" w:space="0" w:color="auto"/>
          </w:tcBorders>
          <w:shd w:val="clear" w:color="auto" w:fill="auto"/>
        </w:tcPr>
        <w:p w:rsidR="003134BC" w:rsidRPr="005338AE" w:rsidRDefault="003134BC" w:rsidP="00354073">
          <w:pPr>
            <w:pStyle w:val="Ledtext"/>
          </w:pPr>
          <w:r w:rsidRPr="005338AE">
            <w:t>Version</w:t>
          </w:r>
        </w:p>
      </w:tc>
    </w:tr>
    <w:tr w:rsidR="003134BC" w:rsidRPr="005338AE" w:rsidTr="009922A1">
      <w:tc>
        <w:tcPr>
          <w:tcW w:w="1647" w:type="dxa"/>
          <w:tcBorders>
            <w:top w:val="single" w:sz="4" w:space="0" w:color="auto"/>
          </w:tcBorders>
        </w:tcPr>
        <w:p w:rsidR="003134BC" w:rsidRPr="005338AE" w:rsidRDefault="003134BC" w:rsidP="00354073">
          <w:pPr>
            <w:pStyle w:val="Ledtext2"/>
          </w:pPr>
        </w:p>
      </w:tc>
      <w:tc>
        <w:tcPr>
          <w:tcW w:w="2748" w:type="dxa"/>
          <w:tcBorders>
            <w:top w:val="single" w:sz="4" w:space="0" w:color="auto"/>
          </w:tcBorders>
        </w:tcPr>
        <w:p w:rsidR="003134BC" w:rsidRPr="005338AE" w:rsidRDefault="003134BC" w:rsidP="00354073">
          <w:pPr>
            <w:pStyle w:val="Ledtext2"/>
          </w:pPr>
        </w:p>
      </w:tc>
      <w:tc>
        <w:tcPr>
          <w:tcW w:w="2353" w:type="dxa"/>
          <w:tcBorders>
            <w:top w:val="single" w:sz="4" w:space="0" w:color="auto"/>
          </w:tcBorders>
        </w:tcPr>
        <w:p w:rsidR="003134BC" w:rsidRPr="005338AE" w:rsidRDefault="003134BC" w:rsidP="00354073">
          <w:pPr>
            <w:pStyle w:val="Ledtext2"/>
          </w:pPr>
        </w:p>
      </w:tc>
      <w:tc>
        <w:tcPr>
          <w:tcW w:w="1700" w:type="dxa"/>
          <w:tcBorders>
            <w:top w:val="single" w:sz="4" w:space="0" w:color="auto"/>
          </w:tcBorders>
        </w:tcPr>
        <w:p w:rsidR="003134BC" w:rsidRPr="005338AE" w:rsidRDefault="003134BC" w:rsidP="00354073">
          <w:pPr>
            <w:pStyle w:val="Ledtext2"/>
          </w:pPr>
        </w:p>
      </w:tc>
    </w:tr>
  </w:tbl>
  <w:p w:rsidR="003134BC" w:rsidRDefault="003134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B0C8D"/>
    <w:multiLevelType w:val="multilevel"/>
    <w:tmpl w:val="C9EAA8E6"/>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862"/>
        </w:tabs>
        <w:ind w:left="862" w:hanging="862"/>
      </w:pPr>
      <w:rPr>
        <w:rFonts w:hint="default"/>
      </w:rPr>
    </w:lvl>
    <w:lvl w:ilvl="2">
      <w:start w:val="1"/>
      <w:numFmt w:val="decimal"/>
      <w:pStyle w:val="Rubrik3numrerad"/>
      <w:lvlText w:val="%1.%2.%3"/>
      <w:lvlJc w:val="left"/>
      <w:pPr>
        <w:tabs>
          <w:tab w:val="num" w:pos="862"/>
        </w:tabs>
        <w:ind w:left="862" w:hanging="862"/>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5F9485B"/>
    <w:multiLevelType w:val="hybridMultilevel"/>
    <w:tmpl w:val="141CD456"/>
    <w:lvl w:ilvl="0" w:tplc="EB76D0A6">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3DAD5BD3"/>
    <w:multiLevelType w:val="multilevel"/>
    <w:tmpl w:val="FBDA6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735778A"/>
    <w:multiLevelType w:val="multilevel"/>
    <w:tmpl w:val="32E0296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80"/>
        </w:tabs>
        <w:ind w:left="851" w:hanging="851"/>
      </w:pPr>
      <w:rPr>
        <w:rFonts w:hint="default"/>
      </w:rPr>
    </w:lvl>
    <w:lvl w:ilvl="3">
      <w:start w:val="1"/>
      <w:numFmt w:val="none"/>
      <w:lvlText w:val="%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69444F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45604E"/>
    <w:rsid w:val="00025ACD"/>
    <w:rsid w:val="00052380"/>
    <w:rsid w:val="000607DA"/>
    <w:rsid w:val="00060DEF"/>
    <w:rsid w:val="00072EBA"/>
    <w:rsid w:val="000A01BC"/>
    <w:rsid w:val="000A2E08"/>
    <w:rsid w:val="000A4225"/>
    <w:rsid w:val="00124E86"/>
    <w:rsid w:val="001638DA"/>
    <w:rsid w:val="00185ABB"/>
    <w:rsid w:val="00197138"/>
    <w:rsid w:val="001A2B95"/>
    <w:rsid w:val="001C28CD"/>
    <w:rsid w:val="001E620C"/>
    <w:rsid w:val="001F2557"/>
    <w:rsid w:val="002709EA"/>
    <w:rsid w:val="0027409E"/>
    <w:rsid w:val="002873A4"/>
    <w:rsid w:val="00292804"/>
    <w:rsid w:val="00297A84"/>
    <w:rsid w:val="002A299B"/>
    <w:rsid w:val="002E114C"/>
    <w:rsid w:val="003052E1"/>
    <w:rsid w:val="003134BC"/>
    <w:rsid w:val="00354073"/>
    <w:rsid w:val="00362E65"/>
    <w:rsid w:val="003812D7"/>
    <w:rsid w:val="003856BA"/>
    <w:rsid w:val="003A3E24"/>
    <w:rsid w:val="003E1C1F"/>
    <w:rsid w:val="003F0463"/>
    <w:rsid w:val="003F0712"/>
    <w:rsid w:val="00401F0D"/>
    <w:rsid w:val="004346BD"/>
    <w:rsid w:val="0045604E"/>
    <w:rsid w:val="004758A4"/>
    <w:rsid w:val="0048597A"/>
    <w:rsid w:val="0049634C"/>
    <w:rsid w:val="004B1BA2"/>
    <w:rsid w:val="004D14A4"/>
    <w:rsid w:val="004F7502"/>
    <w:rsid w:val="0052529B"/>
    <w:rsid w:val="005338AE"/>
    <w:rsid w:val="005B4CCB"/>
    <w:rsid w:val="005C1079"/>
    <w:rsid w:val="005D1094"/>
    <w:rsid w:val="005D1D15"/>
    <w:rsid w:val="00616553"/>
    <w:rsid w:val="0067123D"/>
    <w:rsid w:val="006A00E4"/>
    <w:rsid w:val="006A29CC"/>
    <w:rsid w:val="006B7EDE"/>
    <w:rsid w:val="006E5057"/>
    <w:rsid w:val="00784EFC"/>
    <w:rsid w:val="007862F6"/>
    <w:rsid w:val="0078756A"/>
    <w:rsid w:val="007C3699"/>
    <w:rsid w:val="00857A79"/>
    <w:rsid w:val="0086058C"/>
    <w:rsid w:val="008B4C7B"/>
    <w:rsid w:val="008C2681"/>
    <w:rsid w:val="0090136E"/>
    <w:rsid w:val="00914DF5"/>
    <w:rsid w:val="00920725"/>
    <w:rsid w:val="0096787D"/>
    <w:rsid w:val="00990313"/>
    <w:rsid w:val="009922A1"/>
    <w:rsid w:val="009E07CC"/>
    <w:rsid w:val="00A14645"/>
    <w:rsid w:val="00A15967"/>
    <w:rsid w:val="00A23164"/>
    <w:rsid w:val="00AF7AC7"/>
    <w:rsid w:val="00B0109D"/>
    <w:rsid w:val="00B23852"/>
    <w:rsid w:val="00B43EF0"/>
    <w:rsid w:val="00BC604A"/>
    <w:rsid w:val="00BD05F4"/>
    <w:rsid w:val="00C412BF"/>
    <w:rsid w:val="00C7324A"/>
    <w:rsid w:val="00C80CC5"/>
    <w:rsid w:val="00C90898"/>
    <w:rsid w:val="00CD6748"/>
    <w:rsid w:val="00D30F41"/>
    <w:rsid w:val="00D772F7"/>
    <w:rsid w:val="00D8036A"/>
    <w:rsid w:val="00DD2132"/>
    <w:rsid w:val="00DD578B"/>
    <w:rsid w:val="00E2696D"/>
    <w:rsid w:val="00ED619B"/>
    <w:rsid w:val="00EE6959"/>
    <w:rsid w:val="00EE6EE7"/>
    <w:rsid w:val="00F03342"/>
    <w:rsid w:val="00F46BA5"/>
    <w:rsid w:val="00F55100"/>
    <w:rsid w:val="00F56403"/>
    <w:rsid w:val="00F86EFD"/>
    <w:rsid w:val="00FA212F"/>
    <w:rsid w:val="00FA6151"/>
    <w:rsid w:val="00FF61C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30F41"/>
    <w:rPr>
      <w:rFonts w:ascii="Georgia" w:hAnsi="Georgia"/>
    </w:rPr>
  </w:style>
  <w:style w:type="paragraph" w:styleId="Heading1">
    <w:name w:val="heading 1"/>
    <w:basedOn w:val="Normal"/>
    <w:next w:val="Normal"/>
    <w:qFormat/>
    <w:rsid w:val="00A14645"/>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A14645"/>
    <w:pPr>
      <w:keepNext/>
      <w:spacing w:before="240" w:after="60"/>
      <w:outlineLvl w:val="1"/>
    </w:pPr>
    <w:rPr>
      <w:rFonts w:ascii="Arial" w:hAnsi="Arial" w:cs="Arial"/>
      <w:b/>
      <w:bCs/>
      <w:iCs/>
      <w:sz w:val="24"/>
      <w:szCs w:val="28"/>
    </w:rPr>
  </w:style>
  <w:style w:type="paragraph" w:styleId="Heading3">
    <w:name w:val="heading 3"/>
    <w:basedOn w:val="Normal"/>
    <w:next w:val="Normal"/>
    <w:qFormat/>
    <w:rsid w:val="00A14645"/>
    <w:pPr>
      <w:keepNext/>
      <w:spacing w:before="240" w:after="60"/>
      <w:outlineLvl w:val="2"/>
    </w:pPr>
    <w:rPr>
      <w:rFonts w:ascii="Arial" w:hAnsi="Arial" w:cs="Arial"/>
      <w:b/>
      <w:bCs/>
      <w:szCs w:val="26"/>
    </w:rPr>
  </w:style>
  <w:style w:type="paragraph" w:styleId="Heading4">
    <w:name w:val="heading 4"/>
    <w:basedOn w:val="Heading3"/>
    <w:next w:val="Normal"/>
    <w:qFormat/>
    <w:rsid w:val="00857A79"/>
    <w:pPr>
      <w:outlineLvl w:val="3"/>
    </w:pPr>
    <w:rPr>
      <w:bCs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60DEF"/>
    <w:pPr>
      <w:tabs>
        <w:tab w:val="center" w:pos="4536"/>
        <w:tab w:val="right" w:pos="9072"/>
      </w:tabs>
    </w:pPr>
  </w:style>
  <w:style w:type="paragraph" w:customStyle="1" w:styleId="Rubrik1numrerad">
    <w:name w:val="Rubrik 1 numrerad"/>
    <w:basedOn w:val="Heading1"/>
    <w:next w:val="Normal"/>
    <w:qFormat/>
    <w:rsid w:val="00A14645"/>
    <w:pPr>
      <w:numPr>
        <w:numId w:val="5"/>
      </w:numPr>
    </w:pPr>
  </w:style>
  <w:style w:type="paragraph" w:customStyle="1" w:styleId="Rubrik2numrerad">
    <w:name w:val="Rubrik 2 numrerad"/>
    <w:basedOn w:val="Heading2"/>
    <w:next w:val="Normal"/>
    <w:qFormat/>
    <w:rsid w:val="00A14645"/>
    <w:pPr>
      <w:numPr>
        <w:ilvl w:val="1"/>
        <w:numId w:val="5"/>
      </w:numPr>
      <w:tabs>
        <w:tab w:val="left" w:pos="4820"/>
      </w:tabs>
      <w:spacing w:before="0" w:after="0"/>
    </w:pPr>
    <w:rPr>
      <w:rFonts w:cs="Times New Roman"/>
      <w:bCs w:val="0"/>
      <w:iCs w:val="0"/>
      <w:szCs w:val="20"/>
    </w:rPr>
  </w:style>
  <w:style w:type="paragraph" w:customStyle="1" w:styleId="Rubrik3numrerad">
    <w:name w:val="Rubrik 3 numrerad"/>
    <w:basedOn w:val="Heading3"/>
    <w:next w:val="Normal"/>
    <w:qFormat/>
    <w:rsid w:val="00A14645"/>
    <w:pPr>
      <w:numPr>
        <w:ilvl w:val="2"/>
        <w:numId w:val="5"/>
      </w:numPr>
      <w:spacing w:after="0"/>
    </w:pPr>
    <w:rPr>
      <w:rFonts w:cs="Times New Roman"/>
      <w:bCs w:val="0"/>
      <w:szCs w:val="20"/>
    </w:rPr>
  </w:style>
  <w:style w:type="paragraph" w:styleId="Footer">
    <w:name w:val="footer"/>
    <w:basedOn w:val="Normal"/>
    <w:semiHidden/>
    <w:rsid w:val="00060DEF"/>
    <w:pPr>
      <w:tabs>
        <w:tab w:val="center" w:pos="4536"/>
        <w:tab w:val="right" w:pos="9072"/>
      </w:tabs>
    </w:pPr>
  </w:style>
  <w:style w:type="character" w:styleId="PageNumber">
    <w:name w:val="page number"/>
    <w:basedOn w:val="DefaultParagraphFont"/>
    <w:semiHidden/>
    <w:rsid w:val="00060DEF"/>
  </w:style>
  <w:style w:type="table" w:styleId="TableGrid">
    <w:name w:val="Table Grid"/>
    <w:basedOn w:val="TableNormal"/>
    <w:semiHidden/>
    <w:rsid w:val="00D803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38AE"/>
    <w:rPr>
      <w:rFonts w:ascii="Tahoma" w:hAnsi="Tahoma" w:cs="Tahoma"/>
      <w:sz w:val="16"/>
      <w:szCs w:val="16"/>
    </w:rPr>
  </w:style>
  <w:style w:type="paragraph" w:customStyle="1" w:styleId="Ledtext">
    <w:name w:val="Ledtext"/>
    <w:basedOn w:val="Normal"/>
    <w:qFormat/>
    <w:rsid w:val="00354073"/>
    <w:rPr>
      <w:rFonts w:ascii="Arial" w:hAnsi="Arial" w:cs="Arial"/>
      <w:b/>
      <w:sz w:val="16"/>
      <w:szCs w:val="16"/>
    </w:rPr>
  </w:style>
  <w:style w:type="paragraph" w:customStyle="1" w:styleId="Ledtext2">
    <w:name w:val="Ledtext 2"/>
    <w:basedOn w:val="Ledtext"/>
    <w:qFormat/>
    <w:rsid w:val="00354073"/>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30F41"/>
    <w:rPr>
      <w:rFonts w:ascii="Georgia" w:hAnsi="Georgia"/>
    </w:rPr>
  </w:style>
  <w:style w:type="paragraph" w:styleId="Rubrik1">
    <w:name w:val="heading 1"/>
    <w:basedOn w:val="Normal"/>
    <w:next w:val="Normal"/>
    <w:qFormat/>
    <w:rsid w:val="00A14645"/>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A14645"/>
    <w:pPr>
      <w:keepNext/>
      <w:spacing w:before="240" w:after="60"/>
      <w:outlineLvl w:val="1"/>
    </w:pPr>
    <w:rPr>
      <w:rFonts w:ascii="Arial" w:hAnsi="Arial" w:cs="Arial"/>
      <w:b/>
      <w:bCs/>
      <w:iCs/>
      <w:sz w:val="24"/>
      <w:szCs w:val="28"/>
    </w:rPr>
  </w:style>
  <w:style w:type="paragraph" w:styleId="Rubrik3">
    <w:name w:val="heading 3"/>
    <w:basedOn w:val="Normal"/>
    <w:next w:val="Normal"/>
    <w:qFormat/>
    <w:rsid w:val="00A14645"/>
    <w:pPr>
      <w:keepNext/>
      <w:spacing w:before="240" w:after="60"/>
      <w:outlineLvl w:val="2"/>
    </w:pPr>
    <w:rPr>
      <w:rFonts w:ascii="Arial" w:hAnsi="Arial" w:cs="Arial"/>
      <w:b/>
      <w:bCs/>
      <w:szCs w:val="26"/>
    </w:rPr>
  </w:style>
  <w:style w:type="paragraph" w:styleId="Rubrik4">
    <w:name w:val="heading 4"/>
    <w:basedOn w:val="Rubrik3"/>
    <w:next w:val="Normal"/>
    <w:qFormat/>
    <w:rsid w:val="00857A79"/>
    <w:pPr>
      <w:outlineLvl w:val="3"/>
    </w:pPr>
    <w:rPr>
      <w:bCs w:val="0"/>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customStyle="1" w:styleId="Rubrik1numrerad">
    <w:name w:val="Rubrik 1 numrerad"/>
    <w:basedOn w:val="Rubrik1"/>
    <w:next w:val="Normal"/>
    <w:qFormat/>
    <w:rsid w:val="00A14645"/>
    <w:pPr>
      <w:numPr>
        <w:numId w:val="5"/>
      </w:numPr>
    </w:pPr>
  </w:style>
  <w:style w:type="paragraph" w:customStyle="1" w:styleId="Rubrik2numrerad">
    <w:name w:val="Rubrik 2 numrerad"/>
    <w:basedOn w:val="Rubrik2"/>
    <w:next w:val="Normal"/>
    <w:qFormat/>
    <w:rsid w:val="00A14645"/>
    <w:pPr>
      <w:numPr>
        <w:ilvl w:val="1"/>
        <w:numId w:val="5"/>
      </w:numPr>
      <w:tabs>
        <w:tab w:val="left" w:pos="4820"/>
      </w:tabs>
      <w:spacing w:before="0" w:after="0"/>
    </w:pPr>
    <w:rPr>
      <w:rFonts w:cs="Times New Roman"/>
      <w:bCs w:val="0"/>
      <w:iCs w:val="0"/>
      <w:szCs w:val="20"/>
    </w:rPr>
  </w:style>
  <w:style w:type="paragraph" w:customStyle="1" w:styleId="Rubrik3numrerad">
    <w:name w:val="Rubrik 3 numrerad"/>
    <w:basedOn w:val="Rubrik3"/>
    <w:next w:val="Normal"/>
    <w:qFormat/>
    <w:rsid w:val="00A14645"/>
    <w:pPr>
      <w:numPr>
        <w:ilvl w:val="2"/>
        <w:numId w:val="5"/>
      </w:numPr>
      <w:spacing w:after="0"/>
    </w:pPr>
    <w:rPr>
      <w:rFonts w:cs="Times New Roman"/>
      <w:bCs w:val="0"/>
      <w:szCs w:val="20"/>
    </w:rPr>
  </w:style>
  <w:style w:type="paragraph" w:styleId="Sidfot">
    <w:name w:val="footer"/>
    <w:basedOn w:val="Normal"/>
    <w:semiHidden/>
    <w:pPr>
      <w:tabs>
        <w:tab w:val="center" w:pos="4536"/>
        <w:tab w:val="right" w:pos="9072"/>
      </w:tabs>
    </w:pPr>
  </w:style>
  <w:style w:type="character" w:styleId="Sidnummer">
    <w:name w:val="page number"/>
    <w:basedOn w:val="Standardstycketeckensnitt"/>
    <w:semiHidden/>
  </w:style>
  <w:style w:type="table" w:styleId="Tabellrutnt">
    <w:name w:val="Table Grid"/>
    <w:basedOn w:val="Normaltabell"/>
    <w:semiHidden/>
    <w:rsid w:val="00D803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5338AE"/>
    <w:rPr>
      <w:rFonts w:ascii="Tahoma" w:hAnsi="Tahoma" w:cs="Tahoma"/>
      <w:sz w:val="16"/>
      <w:szCs w:val="16"/>
    </w:rPr>
  </w:style>
  <w:style w:type="paragraph" w:customStyle="1" w:styleId="Ledtext">
    <w:name w:val="Ledtext"/>
    <w:basedOn w:val="Normal"/>
    <w:qFormat/>
    <w:rsid w:val="00354073"/>
    <w:rPr>
      <w:rFonts w:ascii="Arial" w:hAnsi="Arial" w:cs="Arial"/>
      <w:b/>
      <w:sz w:val="16"/>
      <w:szCs w:val="16"/>
    </w:rPr>
  </w:style>
  <w:style w:type="paragraph" w:customStyle="1" w:styleId="Ledtext2">
    <w:name w:val="Ledtext 2"/>
    <w:basedOn w:val="Ledtext"/>
    <w:qFormat/>
    <w:rsid w:val="00354073"/>
    <w:rPr>
      <w:b w:val="0"/>
    </w:rPr>
  </w:style>
</w:styles>
</file>

<file path=word/webSettings.xml><?xml version="1.0" encoding="utf-8"?>
<w:webSettings xmlns:r="http://schemas.openxmlformats.org/officeDocument/2006/relationships" xmlns:w="http://schemas.openxmlformats.org/wordprocessingml/2006/main">
  <w:divs>
    <w:div w:id="532035807">
      <w:bodyDiv w:val="1"/>
      <w:marLeft w:val="0"/>
      <w:marRight w:val="0"/>
      <w:marTop w:val="0"/>
      <w:marBottom w:val="0"/>
      <w:divBdr>
        <w:top w:val="none" w:sz="0" w:space="0" w:color="auto"/>
        <w:left w:val="none" w:sz="0" w:space="0" w:color="auto"/>
        <w:bottom w:val="none" w:sz="0" w:space="0" w:color="auto"/>
        <w:right w:val="none" w:sz="0" w:space="0" w:color="auto"/>
      </w:divBdr>
    </w:div>
    <w:div w:id="1886748464">
      <w:bodyDiv w:val="1"/>
      <w:marLeft w:val="0"/>
      <w:marRight w:val="0"/>
      <w:marTop w:val="0"/>
      <w:marBottom w:val="0"/>
      <w:divBdr>
        <w:top w:val="none" w:sz="0" w:space="0" w:color="auto"/>
        <w:left w:val="none" w:sz="0" w:space="0" w:color="auto"/>
        <w:bottom w:val="none" w:sz="0" w:space="0" w:color="auto"/>
        <w:right w:val="none" w:sz="0" w:space="0" w:color="auto"/>
      </w:divBdr>
      <w:divsChild>
        <w:div w:id="2118979995">
          <w:marLeft w:val="0"/>
          <w:marRight w:val="0"/>
          <w:marTop w:val="0"/>
          <w:marBottom w:val="0"/>
          <w:divBdr>
            <w:top w:val="none" w:sz="0" w:space="0" w:color="auto"/>
            <w:left w:val="none" w:sz="0" w:space="0" w:color="auto"/>
            <w:bottom w:val="none" w:sz="0" w:space="0" w:color="auto"/>
            <w:right w:val="none" w:sz="0" w:space="0" w:color="auto"/>
          </w:divBdr>
          <w:divsChild>
            <w:div w:id="1661229189">
              <w:marLeft w:val="0"/>
              <w:marRight w:val="0"/>
              <w:marTop w:val="0"/>
              <w:marBottom w:val="0"/>
              <w:divBdr>
                <w:top w:val="none" w:sz="0" w:space="0" w:color="auto"/>
                <w:left w:val="none" w:sz="0" w:space="0" w:color="auto"/>
                <w:bottom w:val="none" w:sz="0" w:space="0" w:color="auto"/>
                <w:right w:val="none" w:sz="0" w:space="0" w:color="auto"/>
              </w:divBdr>
              <w:divsChild>
                <w:div w:id="1854606910">
                  <w:marLeft w:val="0"/>
                  <w:marRight w:val="0"/>
                  <w:marTop w:val="0"/>
                  <w:marBottom w:val="0"/>
                  <w:divBdr>
                    <w:top w:val="none" w:sz="0" w:space="0" w:color="auto"/>
                    <w:left w:val="none" w:sz="0" w:space="0" w:color="auto"/>
                    <w:bottom w:val="none" w:sz="0" w:space="0" w:color="auto"/>
                    <w:right w:val="none" w:sz="0" w:space="0" w:color="auto"/>
                  </w:divBdr>
                  <w:divsChild>
                    <w:div w:id="2012222919">
                      <w:marLeft w:val="0"/>
                      <w:marRight w:val="0"/>
                      <w:marTop w:val="0"/>
                      <w:marBottom w:val="0"/>
                      <w:divBdr>
                        <w:top w:val="none" w:sz="0" w:space="0" w:color="auto"/>
                        <w:left w:val="none" w:sz="0" w:space="0" w:color="auto"/>
                        <w:bottom w:val="none" w:sz="0" w:space="0" w:color="auto"/>
                        <w:right w:val="none" w:sz="0" w:space="0" w:color="auto"/>
                      </w:divBdr>
                      <w:divsChild>
                        <w:div w:id="1070690538">
                          <w:marLeft w:val="0"/>
                          <w:marRight w:val="0"/>
                          <w:marTop w:val="0"/>
                          <w:marBottom w:val="0"/>
                          <w:divBdr>
                            <w:top w:val="none" w:sz="0" w:space="0" w:color="auto"/>
                            <w:left w:val="none" w:sz="0" w:space="0" w:color="auto"/>
                            <w:bottom w:val="none" w:sz="0" w:space="0" w:color="auto"/>
                            <w:right w:val="none" w:sz="0" w:space="0" w:color="auto"/>
                          </w:divBdr>
                          <w:divsChild>
                            <w:div w:id="1639991900">
                              <w:marLeft w:val="0"/>
                              <w:marRight w:val="0"/>
                              <w:marTop w:val="0"/>
                              <w:marBottom w:val="0"/>
                              <w:divBdr>
                                <w:top w:val="none" w:sz="0" w:space="0" w:color="auto"/>
                                <w:left w:val="none" w:sz="0" w:space="0" w:color="auto"/>
                                <w:bottom w:val="none" w:sz="0" w:space="0" w:color="auto"/>
                                <w:right w:val="none" w:sz="0" w:space="0" w:color="auto"/>
                              </w:divBdr>
                              <w:divsChild>
                                <w:div w:id="509682423">
                                  <w:marLeft w:val="0"/>
                                  <w:marRight w:val="0"/>
                                  <w:marTop w:val="0"/>
                                  <w:marBottom w:val="0"/>
                                  <w:divBdr>
                                    <w:top w:val="none" w:sz="0" w:space="0" w:color="auto"/>
                                    <w:left w:val="none" w:sz="0" w:space="0" w:color="auto"/>
                                    <w:bottom w:val="none" w:sz="0" w:space="0" w:color="auto"/>
                                    <w:right w:val="none" w:sz="0" w:space="0" w:color="auto"/>
                                  </w:divBdr>
                                  <w:divsChild>
                                    <w:div w:id="983045873">
                                      <w:marLeft w:val="0"/>
                                      <w:marRight w:val="0"/>
                                      <w:marTop w:val="0"/>
                                      <w:marBottom w:val="0"/>
                                      <w:divBdr>
                                        <w:top w:val="single" w:sz="6" w:space="0" w:color="F5F5F5"/>
                                        <w:left w:val="single" w:sz="6" w:space="0" w:color="F5F5F5"/>
                                        <w:bottom w:val="single" w:sz="6" w:space="0" w:color="F5F5F5"/>
                                        <w:right w:val="single" w:sz="6" w:space="0" w:color="F5F5F5"/>
                                      </w:divBdr>
                                      <w:divsChild>
                                        <w:div w:id="479808709">
                                          <w:marLeft w:val="0"/>
                                          <w:marRight w:val="0"/>
                                          <w:marTop w:val="0"/>
                                          <w:marBottom w:val="0"/>
                                          <w:divBdr>
                                            <w:top w:val="none" w:sz="0" w:space="0" w:color="auto"/>
                                            <w:left w:val="none" w:sz="0" w:space="0" w:color="auto"/>
                                            <w:bottom w:val="none" w:sz="0" w:space="0" w:color="auto"/>
                                            <w:right w:val="none" w:sz="0" w:space="0" w:color="auto"/>
                                          </w:divBdr>
                                          <w:divsChild>
                                            <w:div w:id="525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507409">
      <w:bodyDiv w:val="1"/>
      <w:marLeft w:val="0"/>
      <w:marRight w:val="0"/>
      <w:marTop w:val="0"/>
      <w:marBottom w:val="0"/>
      <w:divBdr>
        <w:top w:val="none" w:sz="0" w:space="0" w:color="auto"/>
        <w:left w:val="none" w:sz="0" w:space="0" w:color="auto"/>
        <w:bottom w:val="none" w:sz="0" w:space="0" w:color="auto"/>
        <w:right w:val="none" w:sz="0" w:space="0" w:color="auto"/>
      </w:divBdr>
      <w:divsChild>
        <w:div w:id="1082335007">
          <w:marLeft w:val="0"/>
          <w:marRight w:val="0"/>
          <w:marTop w:val="0"/>
          <w:marBottom w:val="0"/>
          <w:divBdr>
            <w:top w:val="none" w:sz="0" w:space="0" w:color="auto"/>
            <w:left w:val="none" w:sz="0" w:space="0" w:color="auto"/>
            <w:bottom w:val="none" w:sz="0" w:space="0" w:color="auto"/>
            <w:right w:val="none" w:sz="0" w:space="0" w:color="auto"/>
          </w:divBdr>
          <w:divsChild>
            <w:div w:id="1097795519">
              <w:marLeft w:val="0"/>
              <w:marRight w:val="0"/>
              <w:marTop w:val="0"/>
              <w:marBottom w:val="0"/>
              <w:divBdr>
                <w:top w:val="none" w:sz="0" w:space="0" w:color="auto"/>
                <w:left w:val="none" w:sz="0" w:space="0" w:color="auto"/>
                <w:bottom w:val="none" w:sz="0" w:space="0" w:color="auto"/>
                <w:right w:val="none" w:sz="0" w:space="0" w:color="auto"/>
              </w:divBdr>
              <w:divsChild>
                <w:div w:id="348869326">
                  <w:marLeft w:val="0"/>
                  <w:marRight w:val="0"/>
                  <w:marTop w:val="0"/>
                  <w:marBottom w:val="0"/>
                  <w:divBdr>
                    <w:top w:val="none" w:sz="0" w:space="0" w:color="auto"/>
                    <w:left w:val="none" w:sz="0" w:space="0" w:color="auto"/>
                    <w:bottom w:val="none" w:sz="0" w:space="0" w:color="auto"/>
                    <w:right w:val="none" w:sz="0" w:space="0" w:color="auto"/>
                  </w:divBdr>
                  <w:divsChild>
                    <w:div w:id="1742679584">
                      <w:marLeft w:val="0"/>
                      <w:marRight w:val="0"/>
                      <w:marTop w:val="0"/>
                      <w:marBottom w:val="0"/>
                      <w:divBdr>
                        <w:top w:val="none" w:sz="0" w:space="0" w:color="auto"/>
                        <w:left w:val="none" w:sz="0" w:space="0" w:color="auto"/>
                        <w:bottom w:val="none" w:sz="0" w:space="0" w:color="auto"/>
                        <w:right w:val="none" w:sz="0" w:space="0" w:color="auto"/>
                      </w:divBdr>
                      <w:divsChild>
                        <w:div w:id="1422292869">
                          <w:marLeft w:val="0"/>
                          <w:marRight w:val="0"/>
                          <w:marTop w:val="0"/>
                          <w:marBottom w:val="0"/>
                          <w:divBdr>
                            <w:top w:val="none" w:sz="0" w:space="0" w:color="auto"/>
                            <w:left w:val="none" w:sz="0" w:space="0" w:color="auto"/>
                            <w:bottom w:val="none" w:sz="0" w:space="0" w:color="auto"/>
                            <w:right w:val="none" w:sz="0" w:space="0" w:color="auto"/>
                          </w:divBdr>
                          <w:divsChild>
                            <w:div w:id="1161965093">
                              <w:marLeft w:val="0"/>
                              <w:marRight w:val="0"/>
                              <w:marTop w:val="0"/>
                              <w:marBottom w:val="0"/>
                              <w:divBdr>
                                <w:top w:val="none" w:sz="0" w:space="0" w:color="auto"/>
                                <w:left w:val="none" w:sz="0" w:space="0" w:color="auto"/>
                                <w:bottom w:val="none" w:sz="0" w:space="0" w:color="auto"/>
                                <w:right w:val="none" w:sz="0" w:space="0" w:color="auto"/>
                              </w:divBdr>
                              <w:divsChild>
                                <w:div w:id="50160098">
                                  <w:marLeft w:val="0"/>
                                  <w:marRight w:val="0"/>
                                  <w:marTop w:val="0"/>
                                  <w:marBottom w:val="0"/>
                                  <w:divBdr>
                                    <w:top w:val="none" w:sz="0" w:space="0" w:color="auto"/>
                                    <w:left w:val="none" w:sz="0" w:space="0" w:color="auto"/>
                                    <w:bottom w:val="none" w:sz="0" w:space="0" w:color="auto"/>
                                    <w:right w:val="none" w:sz="0" w:space="0" w:color="auto"/>
                                  </w:divBdr>
                                  <w:divsChild>
                                    <w:div w:id="1256091682">
                                      <w:marLeft w:val="0"/>
                                      <w:marRight w:val="0"/>
                                      <w:marTop w:val="0"/>
                                      <w:marBottom w:val="0"/>
                                      <w:divBdr>
                                        <w:top w:val="single" w:sz="6" w:space="0" w:color="F5F5F5"/>
                                        <w:left w:val="single" w:sz="6" w:space="0" w:color="F5F5F5"/>
                                        <w:bottom w:val="single" w:sz="6" w:space="0" w:color="F5F5F5"/>
                                        <w:right w:val="single" w:sz="6" w:space="0" w:color="F5F5F5"/>
                                      </w:divBdr>
                                      <w:divsChild>
                                        <w:div w:id="610362090">
                                          <w:marLeft w:val="0"/>
                                          <w:marRight w:val="0"/>
                                          <w:marTop w:val="0"/>
                                          <w:marBottom w:val="0"/>
                                          <w:divBdr>
                                            <w:top w:val="none" w:sz="0" w:space="0" w:color="auto"/>
                                            <w:left w:val="none" w:sz="0" w:space="0" w:color="auto"/>
                                            <w:bottom w:val="none" w:sz="0" w:space="0" w:color="auto"/>
                                            <w:right w:val="none" w:sz="0" w:space="0" w:color="auto"/>
                                          </w:divBdr>
                                          <w:divsChild>
                                            <w:div w:id="6986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3411</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2012-05-15T12:00:00Z</dcterms:created>
  <dcterms:modified xsi:type="dcterms:W3CDTF">2013-12-03T11:54:00Z</dcterms:modified>
</cp:coreProperties>
</file>